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C3483" w:rsidRDefault="00346BE4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0.7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4C3483">
        <w:rPr>
          <w:sz w:val="28"/>
          <w:szCs w:val="28"/>
        </w:rPr>
        <w:t>Planung von Unterrichtseinheiten</w:t>
      </w:r>
    </w:p>
    <w:p w:rsidR="004C3483" w:rsidRDefault="004C3483">
      <w:pPr>
        <w:rPr>
          <w:sz w:val="2"/>
          <w:szCs w:val="2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10"/>
      </w:tblGrid>
      <w:tr w:rsidR="004C348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4C3483" w:rsidRDefault="004C348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3483" w:rsidRDefault="004C34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Inhaltsbezogene Kompetenz:</w:t>
            </w:r>
          </w:p>
          <w:p w:rsidR="004C3483" w:rsidRDefault="004C34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Funktionen</w:t>
            </w:r>
          </w:p>
          <w:p w:rsidR="004C3483" w:rsidRDefault="004C3483">
            <w:pPr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4C3483" w:rsidRDefault="0017393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Zuordnungen und Funktionen</w:t>
            </w:r>
          </w:p>
          <w:p w:rsidR="004C3483" w:rsidRDefault="004C34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483" w:rsidRDefault="004C34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4C3483" w:rsidRDefault="004C34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4C348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</w:pPr>
            <w:r>
              <w:rPr>
                <w:sz w:val="24"/>
                <w:szCs w:val="24"/>
              </w:rPr>
              <w:t>Arbeitslehre</w:t>
            </w:r>
          </w:p>
          <w:p w:rsidR="004C3483" w:rsidRDefault="00173936">
            <w:r>
              <w:t>Hauswirtschaft</w:t>
            </w: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3483" w:rsidRDefault="004C3483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103A27">
            <w:pPr>
              <w:snapToGrid w:val="0"/>
              <w:jc w:val="center"/>
            </w:pPr>
            <w:r>
              <w:t xml:space="preserve">Ca. </w:t>
            </w:r>
            <w:r w:rsidR="0060644D">
              <w:t>6</w:t>
            </w:r>
            <w:r>
              <w:t xml:space="preserve"> Wochen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483" w:rsidRDefault="004C3483">
            <w:pPr>
              <w:jc w:val="center"/>
            </w:pPr>
            <w:r>
              <w:t>8</w:t>
            </w:r>
          </w:p>
        </w:tc>
      </w:tr>
    </w:tbl>
    <w:p w:rsidR="004C3483" w:rsidRDefault="004C3483">
      <w:pPr>
        <w:spacing w:line="220" w:lineRule="exact"/>
        <w:jc w:val="center"/>
      </w:pPr>
    </w:p>
    <w:p w:rsidR="004C3483" w:rsidRDefault="004C3483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4C3483" w:rsidRDefault="004C3483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32"/>
      </w:tblGrid>
      <w:tr w:rsidR="004C3483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- proportionale und antiproportionale Zuordnungen erkennen und Eigenschaften benennen</w:t>
            </w:r>
          </w:p>
          <w:p w:rsidR="004C3483" w:rsidRDefault="004C3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Zuordnungen in Wertetabellen darstellen</w:t>
            </w:r>
          </w:p>
          <w:p w:rsidR="004C3483" w:rsidRDefault="004C3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Zuordnungen mit dem Dreisatz berechnen</w:t>
            </w:r>
          </w:p>
          <w:p w:rsidR="004C3483" w:rsidRDefault="004C34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grafische Darstellung proportionaler Zuordnung</w:t>
            </w:r>
          </w:p>
          <w:p w:rsidR="004C3483" w:rsidRDefault="004C3483">
            <w:r>
              <w:rPr>
                <w:sz w:val="24"/>
                <w:szCs w:val="24"/>
              </w:rPr>
              <w:t>- Sachaufgaben mithilfe von Dreisatz, Wertetabellen und grafischen Darstellungen in Kleingruppen lösen</w:t>
            </w:r>
          </w:p>
        </w:tc>
        <w:tc>
          <w:tcPr>
            <w:tcW w:w="1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483" w:rsidRDefault="004C3483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4C3483" w:rsidRDefault="004C3483">
      <w:pPr>
        <w:spacing w:line="220" w:lineRule="exact"/>
      </w:pPr>
    </w:p>
    <w:p w:rsidR="004C3483" w:rsidRDefault="004C3483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4C3483" w:rsidRDefault="004C3483">
      <w:pPr>
        <w:spacing w:line="220" w:lineRule="exact"/>
        <w:rPr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5"/>
        <w:gridCol w:w="661"/>
        <w:gridCol w:w="763"/>
        <w:gridCol w:w="950"/>
        <w:gridCol w:w="1553"/>
        <w:gridCol w:w="3285"/>
      </w:tblGrid>
      <w:tr w:rsidR="004C3483" w:rsidTr="00173936">
        <w:trPr>
          <w:trHeight w:val="1786"/>
        </w:trPr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4C3483" w:rsidRPr="00C679D4" w:rsidRDefault="004C3483">
            <w:pPr>
              <w:spacing w:line="220" w:lineRule="exact"/>
              <w:jc w:val="left"/>
            </w:pPr>
            <w:r w:rsidRPr="00C679D4">
              <w:t>- eine Sachsituation erfassen</w:t>
            </w:r>
          </w:p>
          <w:p w:rsidR="004C3483" w:rsidRPr="00173936" w:rsidRDefault="004C3483">
            <w:pPr>
              <w:spacing w:line="220" w:lineRule="exact"/>
              <w:rPr>
                <w:i/>
              </w:rPr>
            </w:pPr>
            <w:r w:rsidRPr="00C679D4">
              <w:t>- mithilfe mathematischer Erkenntnisse und Fertigkeiten eine Lösung innerhalb des mathematischen Modells erarbeiten</w:t>
            </w: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Problemlösen</w:t>
            </w:r>
          </w:p>
          <w:p w:rsidR="004C3483" w:rsidRDefault="004C348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  <w:sz w:val="24"/>
                <w:szCs w:val="24"/>
              </w:rPr>
              <w:t>-</w:t>
            </w:r>
            <w:r>
              <w:rPr>
                <w:spacing w:val="-3"/>
              </w:rPr>
              <w:t xml:space="preserve"> Problemlösestrategien anwenden z. B. durch Schlussfolgern</w:t>
            </w:r>
          </w:p>
          <w:p w:rsidR="0094397D" w:rsidRDefault="0094397D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  <w:r>
              <w:rPr>
                <w:spacing w:val="-3"/>
              </w:rPr>
              <w:t>- „Mathemeisterschaften“</w:t>
            </w:r>
          </w:p>
          <w:p w:rsidR="004C3483" w:rsidRDefault="004C348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- </w:t>
            </w:r>
          </w:p>
          <w:p w:rsidR="004C3483" w:rsidRDefault="004C348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4C3483" w:rsidRDefault="004C348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4C3483" w:rsidRDefault="004C3483" w:rsidP="00173936">
            <w:pPr>
              <w:tabs>
                <w:tab w:val="left" w:pos="227"/>
              </w:tabs>
              <w:spacing w:line="220" w:lineRule="exact"/>
              <w:jc w:val="left"/>
              <w:rPr>
                <w:spacing w:val="-3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4C3483" w:rsidRDefault="004C3483">
            <w:pPr>
              <w:spacing w:line="220" w:lineRule="exact"/>
              <w:jc w:val="left"/>
            </w:pPr>
            <w:r>
              <w:t>- Zusammenhänge erfassen</w:t>
            </w:r>
          </w:p>
          <w:p w:rsidR="004C3483" w:rsidRDefault="004C3483">
            <w:pPr>
              <w:spacing w:line="220" w:lineRule="exact"/>
              <w:jc w:val="left"/>
            </w:pPr>
            <w:r>
              <w:t>- Entscheidungen über die Art der Zuordnung treffen</w:t>
            </w:r>
          </w:p>
          <w:p w:rsidR="004C3483" w:rsidRDefault="004C3483">
            <w:pPr>
              <w:spacing w:line="220" w:lineRule="exact"/>
              <w:jc w:val="left"/>
              <w:rPr>
                <w:b/>
                <w:sz w:val="24"/>
                <w:szCs w:val="24"/>
              </w:rPr>
            </w:pPr>
            <w:r>
              <w:t>- zur Begründung mathematische Kenntnisse und Fertigkeiten nutzen</w:t>
            </w:r>
          </w:p>
        </w:tc>
      </w:tr>
      <w:tr w:rsidR="004C3483" w:rsidTr="00173936">
        <w:trPr>
          <w:trHeight w:val="2337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4C3483" w:rsidRDefault="004C3483">
            <w:pPr>
              <w:spacing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Zeichnungen und Diagrammen relevante Informationen entnehmen</w:t>
            </w:r>
          </w:p>
          <w:p w:rsidR="004C3483" w:rsidRDefault="004C3483">
            <w:pPr>
              <w:spacing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eigene Denkprozesse verbalisieren</w:t>
            </w:r>
          </w:p>
          <w:p w:rsidR="004C3483" w:rsidRDefault="004C3483">
            <w:pPr>
              <w:spacing w:line="220" w:lineRule="exact"/>
              <w:jc w:val="left"/>
            </w:pPr>
            <w:r>
              <w:rPr>
                <w:sz w:val="24"/>
                <w:szCs w:val="24"/>
              </w:rPr>
              <w:t>- angemessene Darstellungsformen Tabellen und Diagramme verwenden</w:t>
            </w:r>
          </w:p>
          <w:p w:rsidR="004C3483" w:rsidRDefault="004C3483" w:rsidP="00173936">
            <w:pPr>
              <w:tabs>
                <w:tab w:val="left" w:pos="227"/>
              </w:tabs>
              <w:spacing w:line="220" w:lineRule="exact"/>
              <w:jc w:val="lef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4C3483" w:rsidRPr="00173936" w:rsidRDefault="004C3483">
            <w:pPr>
              <w:spacing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Geodreieck, Lineal, Zirkel</w:t>
            </w:r>
          </w:p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Tabellen  und Diagramme mit Excel erstellen</w:t>
            </w:r>
          </w:p>
          <w:p w:rsidR="004C3483" w:rsidRDefault="004C3483" w:rsidP="00173936">
            <w:pPr>
              <w:spacing w:line="220" w:lineRule="exact"/>
              <w:rPr>
                <w:b/>
              </w:rPr>
            </w:pPr>
          </w:p>
        </w:tc>
      </w:tr>
      <w:tr w:rsidR="004C3483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 xml:space="preserve">Bezüge zu </w:t>
            </w:r>
          </w:p>
          <w:p w:rsidR="004C3483" w:rsidRDefault="004C3483">
            <w:pPr>
              <w:spacing w:line="220" w:lineRule="exact"/>
              <w:jc w:val="center"/>
            </w:pPr>
            <w:r>
              <w:rPr>
                <w:b/>
              </w:rPr>
              <w:t>vergangenem Unterricht</w:t>
            </w:r>
          </w:p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Rechnen mit dem Dreisatz</w:t>
            </w:r>
          </w:p>
          <w:p w:rsidR="004C3483" w:rsidRDefault="004C3483"/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</w:pPr>
            <w:r>
              <w:rPr>
                <w:b/>
              </w:rPr>
              <w:t>f</w:t>
            </w:r>
            <w:r>
              <w:rPr>
                <w:b/>
                <w:sz w:val="24"/>
                <w:szCs w:val="24"/>
              </w:rPr>
              <w:t>olgendem Unterricht</w:t>
            </w:r>
          </w:p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b/>
                <w:sz w:val="24"/>
                <w:szCs w:val="24"/>
              </w:rPr>
            </w:pPr>
            <w:r>
              <w:t>Hinführung zur Prozentrechnung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173936" w:rsidRPr="00173936" w:rsidRDefault="004C3483" w:rsidP="00173936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Medien</w:t>
            </w:r>
          </w:p>
          <w:p w:rsidR="00173936" w:rsidRDefault="0017393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Lernstufen 8, S. 67-94</w:t>
            </w:r>
          </w:p>
          <w:p w:rsidR="00173936" w:rsidRPr="00173936" w:rsidRDefault="00173936" w:rsidP="00173936"/>
          <w:p w:rsidR="004C3483" w:rsidRDefault="004C348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Sachaufgaben aus dem Mathebuch,</w:t>
            </w:r>
          </w:p>
          <w:p w:rsidR="004C3483" w:rsidRDefault="004C3483">
            <w:pPr>
              <w:spacing w:line="220" w:lineRule="exact"/>
              <w:jc w:val="left"/>
            </w:pPr>
          </w:p>
          <w:p w:rsidR="004C3483" w:rsidRDefault="004C3483" w:rsidP="00173936">
            <w:pPr>
              <w:spacing w:line="220" w:lineRule="exact"/>
              <w:jc w:val="left"/>
            </w:pPr>
            <w:proofErr w:type="spellStart"/>
            <w:r>
              <w:t>Fermiaufga</w:t>
            </w:r>
            <w:r w:rsidR="00173936">
              <w:t>ben</w:t>
            </w:r>
            <w:proofErr w:type="spellEnd"/>
          </w:p>
          <w:p w:rsidR="004C3483" w:rsidRDefault="004C3483">
            <w:pPr>
              <w:jc w:val="center"/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4C3483" w:rsidRDefault="004C3483" w:rsidP="00173936">
            <w:pPr>
              <w:jc w:val="left"/>
              <w:rPr>
                <w:b/>
                <w:sz w:val="24"/>
                <w:szCs w:val="24"/>
              </w:rPr>
            </w:pPr>
            <w:r>
              <w:t>s. Überprüfungsformate</w:t>
            </w: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Produkte/ </w:t>
            </w:r>
          </w:p>
          <w:p w:rsidR="004C3483" w:rsidRDefault="004C348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Überprüfungsformate</w:t>
            </w:r>
          </w:p>
          <w:p w:rsidR="004C3483" w:rsidRDefault="004C3483">
            <w:pPr>
              <w:rPr>
                <w:b/>
                <w:sz w:val="24"/>
                <w:szCs w:val="24"/>
              </w:rPr>
            </w:pPr>
          </w:p>
          <w:p w:rsidR="004C3483" w:rsidRDefault="004C3483">
            <w:r>
              <w:t>Lösung einer Sachaufgabe inkl. Grafischer Darstellung in PA und Präsentation vor der Klasse</w:t>
            </w:r>
          </w:p>
          <w:p w:rsidR="004C3483" w:rsidRDefault="004C3483"/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483" w:rsidRDefault="004C348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4C3483" w:rsidRDefault="004C348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4C3483" w:rsidRDefault="004C3483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Lebensplanung/ Berufsorientierung</w:t>
            </w:r>
          </w:p>
          <w:p w:rsidR="004C3483" w:rsidRDefault="004C3483">
            <w:pPr>
              <w:spacing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Lebenshaltungskosten z.B. Handyverträge</w:t>
            </w:r>
          </w:p>
          <w:p w:rsidR="004C3483" w:rsidRDefault="004C3483">
            <w:pPr>
              <w:spacing w:line="220" w:lineRule="exact"/>
              <w:jc w:val="left"/>
            </w:pPr>
            <w:r>
              <w:rPr>
                <w:sz w:val="24"/>
                <w:szCs w:val="24"/>
              </w:rPr>
              <w:t>- Mathematik in Ausbildungsberufen:</w:t>
            </w:r>
            <w:r w:rsidR="001739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Handel, z.B. Erstellen von Preistabellen          Dienstleistungen, z.B. Hauswirtschaft: Erstellen von Wertetabellen wie kcal...</w:t>
            </w:r>
          </w:p>
        </w:tc>
        <w:bookmarkStart w:id="0" w:name="_GoBack"/>
        <w:bookmarkEnd w:id="0"/>
      </w:tr>
    </w:tbl>
    <w:p w:rsidR="004C3483" w:rsidRDefault="004C3483">
      <w:pPr>
        <w:pageBreakBefore/>
      </w:pPr>
    </w:p>
    <w:sectPr w:rsidR="004C3483">
      <w:headerReference w:type="default" r:id="rId8"/>
      <w:footerReference w:type="default" r:id="rId9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296" w:rsidRDefault="00C01296">
      <w:r>
        <w:separator/>
      </w:r>
    </w:p>
  </w:endnote>
  <w:endnote w:type="continuationSeparator" w:id="0">
    <w:p w:rsidR="00C01296" w:rsidRDefault="00C0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4D" w:rsidRDefault="0060644D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296" w:rsidRDefault="00C01296">
      <w:r>
        <w:separator/>
      </w:r>
    </w:p>
  </w:footnote>
  <w:footnote w:type="continuationSeparator" w:id="0">
    <w:p w:rsidR="00C01296" w:rsidRDefault="00C01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44D" w:rsidRDefault="0060644D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Aria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Symbol"/>
        <w:b w:val="0"/>
        <w:i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9D4"/>
    <w:rsid w:val="00103A27"/>
    <w:rsid w:val="00173936"/>
    <w:rsid w:val="00346BE4"/>
    <w:rsid w:val="004C3483"/>
    <w:rsid w:val="0060644D"/>
    <w:rsid w:val="008A5007"/>
    <w:rsid w:val="0094397D"/>
    <w:rsid w:val="00C01296"/>
    <w:rsid w:val="00C6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4017E60B-E77C-4A6E-A1E5-781FF49B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2015-11-11T16:09:00Z</dcterms:created>
  <dcterms:modified xsi:type="dcterms:W3CDTF">2015-11-26T17:59:00Z</dcterms:modified>
</cp:coreProperties>
</file>